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C26" w:rsidRPr="00477C26" w:rsidRDefault="00471099" w:rsidP="00477C26">
      <w:pPr>
        <w:pStyle w:val="ConsPlusTitlePage"/>
        <w:contextualSpacing/>
        <w:rPr>
          <w:rFonts w:ascii="Times New Roman" w:hAnsi="Times New Roman" w:cs="Times New Roman"/>
        </w:rPr>
      </w:pPr>
      <w:r>
        <w:rPr>
          <w:rFonts w:ascii="Times New Roman" w:hAnsi="Times New Roman" w:cs="Times New Roman"/>
        </w:rPr>
        <w:t xml:space="preserve"> </w:t>
      </w:r>
      <w:bookmarkStart w:id="0" w:name="_GoBack"/>
      <w:bookmarkEnd w:id="0"/>
    </w:p>
    <w:p w:rsidR="00477C26" w:rsidRPr="00477C26" w:rsidRDefault="00477C26">
      <w:pPr>
        <w:pStyle w:val="ConsPlusTitle"/>
        <w:contextualSpacing/>
        <w:jc w:val="center"/>
        <w:rPr>
          <w:rFonts w:ascii="Times New Roman" w:hAnsi="Times New Roman" w:cs="Times New Roman"/>
        </w:rPr>
      </w:pPr>
      <w:r w:rsidRPr="00477C26">
        <w:rPr>
          <w:rFonts w:ascii="Times New Roman" w:hAnsi="Times New Roman" w:cs="Times New Roman"/>
        </w:rPr>
        <w:t>МИНИСТЕРСТВО ФИНАНСОВ РОССИЙСКОЙ ФЕДЕРАЦИИ</w:t>
      </w:r>
    </w:p>
    <w:p w:rsidR="00477C26" w:rsidRPr="00477C26" w:rsidRDefault="00477C26">
      <w:pPr>
        <w:pStyle w:val="ConsPlusTitle"/>
        <w:contextualSpacing/>
        <w:jc w:val="center"/>
        <w:rPr>
          <w:rFonts w:ascii="Times New Roman" w:hAnsi="Times New Roman" w:cs="Times New Roman"/>
        </w:rPr>
      </w:pPr>
      <w:r w:rsidRPr="00477C26">
        <w:rPr>
          <w:rFonts w:ascii="Times New Roman" w:hAnsi="Times New Roman" w:cs="Times New Roman"/>
        </w:rPr>
        <w:t>N 24-01-07/9128</w:t>
      </w:r>
    </w:p>
    <w:p w:rsidR="00477C26" w:rsidRPr="00477C26" w:rsidRDefault="00477C26">
      <w:pPr>
        <w:pStyle w:val="ConsPlusTitle"/>
        <w:contextualSpacing/>
        <w:jc w:val="center"/>
        <w:rPr>
          <w:rFonts w:ascii="Times New Roman" w:hAnsi="Times New Roman" w:cs="Times New Roman"/>
        </w:rPr>
      </w:pPr>
    </w:p>
    <w:p w:rsidR="00477C26" w:rsidRPr="00477C26" w:rsidRDefault="00477C26">
      <w:pPr>
        <w:pStyle w:val="ConsPlusTitle"/>
        <w:contextualSpacing/>
        <w:jc w:val="center"/>
        <w:rPr>
          <w:rFonts w:ascii="Times New Roman" w:hAnsi="Times New Roman" w:cs="Times New Roman"/>
        </w:rPr>
      </w:pPr>
      <w:r w:rsidRPr="00477C26">
        <w:rPr>
          <w:rFonts w:ascii="Times New Roman" w:hAnsi="Times New Roman" w:cs="Times New Roman"/>
        </w:rPr>
        <w:t>МИНИСТЕРСТВО ТРАНСПОРТА РОССИЙСКОЙ ФЕДЕРАЦИИ</w:t>
      </w:r>
    </w:p>
    <w:p w:rsidR="00477C26" w:rsidRPr="00477C26" w:rsidRDefault="00477C26">
      <w:pPr>
        <w:pStyle w:val="ConsPlusTitle"/>
        <w:contextualSpacing/>
        <w:jc w:val="center"/>
        <w:rPr>
          <w:rFonts w:ascii="Times New Roman" w:hAnsi="Times New Roman" w:cs="Times New Roman"/>
        </w:rPr>
      </w:pPr>
      <w:r w:rsidRPr="00477C26">
        <w:rPr>
          <w:rFonts w:ascii="Times New Roman" w:hAnsi="Times New Roman" w:cs="Times New Roman"/>
        </w:rPr>
        <w:t>N АК-Д3-22/2123</w:t>
      </w:r>
    </w:p>
    <w:p w:rsidR="00477C26" w:rsidRPr="00477C26" w:rsidRDefault="00477C26">
      <w:pPr>
        <w:pStyle w:val="ConsPlusTitle"/>
        <w:contextualSpacing/>
        <w:jc w:val="center"/>
        <w:rPr>
          <w:rFonts w:ascii="Times New Roman" w:hAnsi="Times New Roman" w:cs="Times New Roman"/>
        </w:rPr>
      </w:pPr>
    </w:p>
    <w:p w:rsidR="00477C26" w:rsidRPr="00477C26" w:rsidRDefault="00477C26">
      <w:pPr>
        <w:pStyle w:val="ConsPlusTitle"/>
        <w:contextualSpacing/>
        <w:jc w:val="center"/>
        <w:rPr>
          <w:rFonts w:ascii="Times New Roman" w:hAnsi="Times New Roman" w:cs="Times New Roman"/>
        </w:rPr>
      </w:pPr>
      <w:r w:rsidRPr="00477C26">
        <w:rPr>
          <w:rFonts w:ascii="Times New Roman" w:hAnsi="Times New Roman" w:cs="Times New Roman"/>
        </w:rPr>
        <w:t>ИНФОРМАЦИОННОЕ ПИСЬМО</w:t>
      </w:r>
    </w:p>
    <w:p w:rsidR="00477C26" w:rsidRPr="00477C26" w:rsidRDefault="00477C26">
      <w:pPr>
        <w:pStyle w:val="ConsPlusTitle"/>
        <w:contextualSpacing/>
        <w:jc w:val="center"/>
        <w:rPr>
          <w:rFonts w:ascii="Times New Roman" w:hAnsi="Times New Roman" w:cs="Times New Roman"/>
        </w:rPr>
      </w:pPr>
      <w:r w:rsidRPr="00477C26">
        <w:rPr>
          <w:rFonts w:ascii="Times New Roman" w:hAnsi="Times New Roman" w:cs="Times New Roman"/>
        </w:rPr>
        <w:t>от 2 февраля 2024 года</w:t>
      </w:r>
    </w:p>
    <w:p w:rsidR="00477C26" w:rsidRPr="00477C26" w:rsidRDefault="00477C26">
      <w:pPr>
        <w:pStyle w:val="ConsPlusTitle"/>
        <w:contextualSpacing/>
        <w:jc w:val="center"/>
        <w:rPr>
          <w:rFonts w:ascii="Times New Roman" w:hAnsi="Times New Roman" w:cs="Times New Roman"/>
        </w:rPr>
      </w:pPr>
    </w:p>
    <w:p w:rsidR="00477C26" w:rsidRPr="00477C26" w:rsidRDefault="00477C26">
      <w:pPr>
        <w:pStyle w:val="ConsPlusTitle"/>
        <w:contextualSpacing/>
        <w:jc w:val="center"/>
        <w:rPr>
          <w:rFonts w:ascii="Times New Roman" w:hAnsi="Times New Roman" w:cs="Times New Roman"/>
        </w:rPr>
      </w:pPr>
      <w:r w:rsidRPr="00477C26">
        <w:rPr>
          <w:rFonts w:ascii="Times New Roman" w:hAnsi="Times New Roman" w:cs="Times New Roman"/>
        </w:rPr>
        <w:t>ОБ ОПРЕДЕЛЕНИИ</w:t>
      </w:r>
    </w:p>
    <w:p w:rsidR="00477C26" w:rsidRPr="00477C26" w:rsidRDefault="00477C26">
      <w:pPr>
        <w:pStyle w:val="ConsPlusTitle"/>
        <w:contextualSpacing/>
        <w:jc w:val="center"/>
        <w:rPr>
          <w:rFonts w:ascii="Times New Roman" w:hAnsi="Times New Roman" w:cs="Times New Roman"/>
        </w:rPr>
      </w:pPr>
      <w:r w:rsidRPr="00477C26">
        <w:rPr>
          <w:rFonts w:ascii="Times New Roman" w:hAnsi="Times New Roman" w:cs="Times New Roman"/>
        </w:rPr>
        <w:t>НАЧАЛЬНОЙ (МАКСИМАЛЬНОЙ) ЦЕНЫ КОНТРАКТА НА ВЫПОЛНЕНИЕ РАБОТ</w:t>
      </w:r>
    </w:p>
    <w:p w:rsidR="00477C26" w:rsidRPr="00477C26" w:rsidRDefault="00477C26">
      <w:pPr>
        <w:pStyle w:val="ConsPlusTitle"/>
        <w:contextualSpacing/>
        <w:jc w:val="center"/>
        <w:rPr>
          <w:rFonts w:ascii="Times New Roman" w:hAnsi="Times New Roman" w:cs="Times New Roman"/>
        </w:rPr>
      </w:pPr>
      <w:r w:rsidRPr="00477C26">
        <w:rPr>
          <w:rFonts w:ascii="Times New Roman" w:hAnsi="Times New Roman" w:cs="Times New Roman"/>
        </w:rPr>
        <w:t>ПО ОСУЩЕСТВЛЕНИЮ РЕГУЛЯРНЫХ ПЕРЕВОЗОК ПАССАЖИРОВ И БАГАЖА</w:t>
      </w:r>
    </w:p>
    <w:p w:rsidR="00477C26" w:rsidRPr="00477C26" w:rsidRDefault="00477C26">
      <w:pPr>
        <w:pStyle w:val="ConsPlusTitle"/>
        <w:contextualSpacing/>
        <w:jc w:val="center"/>
        <w:rPr>
          <w:rFonts w:ascii="Times New Roman" w:hAnsi="Times New Roman" w:cs="Times New Roman"/>
        </w:rPr>
      </w:pPr>
      <w:r w:rsidRPr="00477C26">
        <w:rPr>
          <w:rFonts w:ascii="Times New Roman" w:hAnsi="Times New Roman" w:cs="Times New Roman"/>
        </w:rPr>
        <w:t>АВТОМОБИЛЬНЫМ ТРАНСПОРТОМ И ГОРОДСКИМ НАЗЕМНЫМ ЭЛЕКТРИЧЕСКИМ</w:t>
      </w:r>
    </w:p>
    <w:p w:rsidR="00477C26" w:rsidRPr="00477C26" w:rsidRDefault="00477C26">
      <w:pPr>
        <w:pStyle w:val="ConsPlusTitle"/>
        <w:contextualSpacing/>
        <w:jc w:val="center"/>
        <w:rPr>
          <w:rFonts w:ascii="Times New Roman" w:hAnsi="Times New Roman" w:cs="Times New Roman"/>
        </w:rPr>
      </w:pPr>
      <w:r w:rsidRPr="00477C26">
        <w:rPr>
          <w:rFonts w:ascii="Times New Roman" w:hAnsi="Times New Roman" w:cs="Times New Roman"/>
        </w:rPr>
        <w:t>ТРАНСПОРТОМ ПО РЕГУЛИРУЕМЫМ ТАРИФАМ, ОБ ИЗМЕНЕНИИ</w:t>
      </w:r>
    </w:p>
    <w:p w:rsidR="00477C26" w:rsidRPr="00477C26" w:rsidRDefault="00477C26">
      <w:pPr>
        <w:pStyle w:val="ConsPlusTitle"/>
        <w:contextualSpacing/>
        <w:jc w:val="center"/>
        <w:rPr>
          <w:rFonts w:ascii="Times New Roman" w:hAnsi="Times New Roman" w:cs="Times New Roman"/>
        </w:rPr>
      </w:pPr>
      <w:r w:rsidRPr="00477C26">
        <w:rPr>
          <w:rFonts w:ascii="Times New Roman" w:hAnsi="Times New Roman" w:cs="Times New Roman"/>
        </w:rPr>
        <w:t>СУЩЕСТВЕННЫХ УСЛОВИЙ ТАКОГО КОНТРАКТА</w:t>
      </w:r>
    </w:p>
    <w:p w:rsidR="00477C26" w:rsidRPr="00477C26" w:rsidRDefault="00477C26">
      <w:pPr>
        <w:pStyle w:val="ConsPlusNormal"/>
        <w:ind w:firstLine="540"/>
        <w:contextualSpacing/>
        <w:jc w:val="both"/>
        <w:rPr>
          <w:rFonts w:ascii="Times New Roman" w:hAnsi="Times New Roman" w:cs="Times New Roman"/>
        </w:rPr>
      </w:pPr>
    </w:p>
    <w:p w:rsidR="00477C26" w:rsidRPr="00477C26" w:rsidRDefault="00477C26">
      <w:pPr>
        <w:pStyle w:val="ConsPlusNormal"/>
        <w:ind w:firstLine="540"/>
        <w:contextualSpacing/>
        <w:jc w:val="both"/>
        <w:rPr>
          <w:rFonts w:ascii="Times New Roman" w:hAnsi="Times New Roman" w:cs="Times New Roman"/>
        </w:rPr>
      </w:pPr>
      <w:r w:rsidRPr="00477C26">
        <w:rPr>
          <w:rFonts w:ascii="Times New Roman" w:hAnsi="Times New Roman" w:cs="Times New Roman"/>
        </w:rPr>
        <w:t>В связи с поступлением вопросов исполнительных органов субъектов Российской Федерации, касающихся определения начальных (максимальных) цен контрактов, цен контрактов, заключаемых с единственным поставщиком (подрядчиком, исполнителем) (далее - НМЦК) при осуществлении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(далее - Закон N 44-ФЗ) закупок в сфере регулярных перевозок пассажиров и багажа автомобильным транспортом и городским наземным электрическим транспортом по регулируемым тарифам (далее - регулярные перевозки), а также изменения существенных условий контрактов на выполнение работ по осуществлению регулярных перевозок, Минфин России и Минтранс России сообщают следующее.</w:t>
      </w:r>
    </w:p>
    <w:p w:rsidR="00477C26" w:rsidRPr="00477C26" w:rsidRDefault="00477C26">
      <w:pPr>
        <w:pStyle w:val="ConsPlusNormal"/>
        <w:spacing w:before="220"/>
        <w:ind w:firstLine="540"/>
        <w:contextualSpacing/>
        <w:jc w:val="both"/>
        <w:rPr>
          <w:rFonts w:ascii="Times New Roman" w:hAnsi="Times New Roman" w:cs="Times New Roman"/>
        </w:rPr>
      </w:pPr>
      <w:r w:rsidRPr="00477C26">
        <w:rPr>
          <w:rFonts w:ascii="Times New Roman" w:hAnsi="Times New Roman" w:cs="Times New Roman"/>
        </w:rPr>
        <w:t>1. Об определении НМЦК при закупках в сфере регулярных перевозок.</w:t>
      </w:r>
    </w:p>
    <w:p w:rsidR="00477C26" w:rsidRPr="00477C26" w:rsidRDefault="00477C26">
      <w:pPr>
        <w:pStyle w:val="ConsPlusNormal"/>
        <w:spacing w:before="220"/>
        <w:ind w:firstLine="540"/>
        <w:contextualSpacing/>
        <w:jc w:val="both"/>
        <w:rPr>
          <w:rFonts w:ascii="Times New Roman" w:hAnsi="Times New Roman" w:cs="Times New Roman"/>
        </w:rPr>
      </w:pPr>
      <w:r w:rsidRPr="00477C26">
        <w:rPr>
          <w:rFonts w:ascii="Times New Roman" w:hAnsi="Times New Roman" w:cs="Times New Roman"/>
        </w:rPr>
        <w:t>Частью 22 статьи 22 Закона N 44-ФЗ установлены полномочия Правительства Российской Федерации на определение сферы закупок, в которой при осуществлении закупок устанавливается порядок определения НМЦК, а также на определение федерального органа исполнительной власти, уполномоченного на установление такого порядка.</w:t>
      </w:r>
    </w:p>
    <w:p w:rsidR="00477C26" w:rsidRPr="00477C26" w:rsidRDefault="00477C26">
      <w:pPr>
        <w:pStyle w:val="ConsPlusNormal"/>
        <w:spacing w:before="220"/>
        <w:ind w:firstLine="540"/>
        <w:contextualSpacing/>
        <w:jc w:val="both"/>
        <w:rPr>
          <w:rFonts w:ascii="Times New Roman" w:hAnsi="Times New Roman" w:cs="Times New Roman"/>
        </w:rPr>
      </w:pPr>
      <w:r w:rsidRPr="00477C26">
        <w:rPr>
          <w:rFonts w:ascii="Times New Roman" w:hAnsi="Times New Roman" w:cs="Times New Roman"/>
        </w:rPr>
        <w:t>В реализацию постановления Правительства Российской Федерации от 11 октября 2016 г. N 1028 издан приказ Минтранса России от 20 октября 2021 г. N 351 (далее - Приказ N 351), устанавливающий порядок определения НМЦК при осуществлении закупок в сфере регулярных перевозок.</w:t>
      </w:r>
    </w:p>
    <w:p w:rsidR="00477C26" w:rsidRPr="00477C26" w:rsidRDefault="00477C26">
      <w:pPr>
        <w:pStyle w:val="ConsPlusNormal"/>
        <w:spacing w:before="220"/>
        <w:ind w:firstLine="540"/>
        <w:contextualSpacing/>
        <w:jc w:val="both"/>
        <w:rPr>
          <w:rFonts w:ascii="Times New Roman" w:hAnsi="Times New Roman" w:cs="Times New Roman"/>
        </w:rPr>
      </w:pPr>
      <w:r w:rsidRPr="00477C26">
        <w:rPr>
          <w:rFonts w:ascii="Times New Roman" w:hAnsi="Times New Roman" w:cs="Times New Roman"/>
        </w:rPr>
        <w:t>Приказ N 351 является нормативным правовым актом, в связи с чем утвержденный им порядок подлежит обязательному применению заказчиками при определении НМЦК при закупках в сфере регулярных перевозок.</w:t>
      </w:r>
    </w:p>
    <w:p w:rsidR="00477C26" w:rsidRPr="00477C26" w:rsidRDefault="00477C26">
      <w:pPr>
        <w:pStyle w:val="ConsPlusNormal"/>
        <w:spacing w:before="220"/>
        <w:ind w:firstLine="540"/>
        <w:contextualSpacing/>
        <w:jc w:val="both"/>
        <w:rPr>
          <w:rFonts w:ascii="Times New Roman" w:hAnsi="Times New Roman" w:cs="Times New Roman"/>
        </w:rPr>
      </w:pPr>
      <w:r w:rsidRPr="00477C26">
        <w:rPr>
          <w:rFonts w:ascii="Times New Roman" w:hAnsi="Times New Roman" w:cs="Times New Roman"/>
        </w:rPr>
        <w:t>2. О финансовом обеспечении закупок в сфере регулярных перевозок.</w:t>
      </w:r>
    </w:p>
    <w:p w:rsidR="00477C26" w:rsidRPr="00477C26" w:rsidRDefault="00477C26">
      <w:pPr>
        <w:pStyle w:val="ConsPlusNormal"/>
        <w:spacing w:before="220"/>
        <w:ind w:firstLine="540"/>
        <w:contextualSpacing/>
        <w:jc w:val="both"/>
        <w:rPr>
          <w:rFonts w:ascii="Times New Roman" w:hAnsi="Times New Roman" w:cs="Times New Roman"/>
        </w:rPr>
      </w:pPr>
      <w:r w:rsidRPr="00477C26">
        <w:rPr>
          <w:rFonts w:ascii="Times New Roman" w:hAnsi="Times New Roman" w:cs="Times New Roman"/>
        </w:rPr>
        <w:t>Государственные (муниципальные) контракты заключаются в соответствии с планом-графиком закупок и оплачиваются в пределах лимитов бюджетных обязательств (пункт 2 статьи 72 Бюджетного кодекса Российской Федерации) (далее - БК РФ), за исключением случаев, установленных пунктом 3 статьи 72 БК РФ, при которых допускается заключение таких контрактов на срок, превышающий срок действия утвержденных лимитов бюджетных обязательств.</w:t>
      </w:r>
    </w:p>
    <w:p w:rsidR="00477C26" w:rsidRPr="00477C26" w:rsidRDefault="00477C26">
      <w:pPr>
        <w:pStyle w:val="ConsPlusNormal"/>
        <w:spacing w:before="220"/>
        <w:ind w:firstLine="540"/>
        <w:contextualSpacing/>
        <w:jc w:val="both"/>
        <w:rPr>
          <w:rFonts w:ascii="Times New Roman" w:hAnsi="Times New Roman" w:cs="Times New Roman"/>
        </w:rPr>
      </w:pPr>
      <w:r w:rsidRPr="00477C26">
        <w:rPr>
          <w:rFonts w:ascii="Times New Roman" w:hAnsi="Times New Roman" w:cs="Times New Roman"/>
        </w:rPr>
        <w:t>Проекты планов-графиков государственных заказчиков, действующих от имени субъекта Российской Федерации, муниципальных заказчиков, формируются на основании обоснований (расчетов) плановых сметных показателей, формируемых при составлении проекта бюджетной сметы (бюджетной сметы) таких заказчиков как получателей бюджетных средств (пункт 9 положения, утвержденного постановлением Правительства Российской Федерации от 30 сентября 2019 г. N 1279).</w:t>
      </w:r>
    </w:p>
    <w:p w:rsidR="00477C26" w:rsidRPr="00477C26" w:rsidRDefault="00477C26">
      <w:pPr>
        <w:pStyle w:val="ConsPlusNormal"/>
        <w:spacing w:before="220"/>
        <w:ind w:firstLine="540"/>
        <w:contextualSpacing/>
        <w:jc w:val="both"/>
        <w:rPr>
          <w:rFonts w:ascii="Times New Roman" w:hAnsi="Times New Roman" w:cs="Times New Roman"/>
        </w:rPr>
      </w:pPr>
      <w:r w:rsidRPr="00477C26">
        <w:rPr>
          <w:rFonts w:ascii="Times New Roman" w:hAnsi="Times New Roman" w:cs="Times New Roman"/>
        </w:rPr>
        <w:t xml:space="preserve">Бюджетная смета казенного учреждения (обоснования (расчеты) плановых сметных показателей) составляется в пределах доведенных до казенного учреждения лимитов бюджетных обязательств с учетом объемов финансового обеспечения для осуществления закупок, предусмотренных при формировании планов-графиков закупок, утверждаемых в пределах </w:t>
      </w:r>
      <w:r w:rsidRPr="00477C26">
        <w:rPr>
          <w:rFonts w:ascii="Times New Roman" w:hAnsi="Times New Roman" w:cs="Times New Roman"/>
        </w:rPr>
        <w:lastRenderedPageBreak/>
        <w:t>лимитов бюджетных обязательств на принятие и (или) исполнение бюджетных обязательств на закупку товаров, работ, услуг для обеспечения государственных (муниципальных) нужд (пункт 2 статьи 221 БК РФ). Положения статьи 161 БК РФ об особенностях правового положения казенных учреждений по общему правилу распространяются, в том числе, на органы государственной власти (государственные органы), органы местного самоуправления (муниципальные органы) (пункт 11 статьи 161 БК РФ).</w:t>
      </w:r>
    </w:p>
    <w:p w:rsidR="00477C26" w:rsidRPr="00477C26" w:rsidRDefault="00477C26">
      <w:pPr>
        <w:pStyle w:val="ConsPlusNormal"/>
        <w:spacing w:before="220"/>
        <w:ind w:firstLine="540"/>
        <w:contextualSpacing/>
        <w:jc w:val="both"/>
        <w:rPr>
          <w:rFonts w:ascii="Times New Roman" w:hAnsi="Times New Roman" w:cs="Times New Roman"/>
        </w:rPr>
      </w:pPr>
      <w:r w:rsidRPr="00477C26">
        <w:rPr>
          <w:rFonts w:ascii="Times New Roman" w:hAnsi="Times New Roman" w:cs="Times New Roman"/>
        </w:rPr>
        <w:t>Учитывая, что утвержденный Приказом N 351 порядок носит обязательный характер, во избежание недостаточности финансового обеспечения для осуществления закупок в сфере регулярных перевозок представляется целесообразным главным распорядителям (распорядителям) бюджетных средств субъектов Российской Федерации (местного бюджета), государственным заказчикам, действующим от имени соответствующего субъекта Российской Федерации, муниципальным заказчикам, являющимся получателями бюджетных средств, при планировании соответствующих закупок исходить из объема финансового обеспечения закупок в сфере регулярных перевозок, определяемого с учетом требований Приказа N 351.</w:t>
      </w:r>
    </w:p>
    <w:p w:rsidR="00477C26" w:rsidRPr="00477C26" w:rsidRDefault="00477C26">
      <w:pPr>
        <w:pStyle w:val="ConsPlusNormal"/>
        <w:spacing w:before="220"/>
        <w:ind w:firstLine="540"/>
        <w:contextualSpacing/>
        <w:jc w:val="both"/>
        <w:rPr>
          <w:rFonts w:ascii="Times New Roman" w:hAnsi="Times New Roman" w:cs="Times New Roman"/>
        </w:rPr>
      </w:pPr>
      <w:r w:rsidRPr="00477C26">
        <w:rPr>
          <w:rFonts w:ascii="Times New Roman" w:hAnsi="Times New Roman" w:cs="Times New Roman"/>
        </w:rPr>
        <w:t>При недостаточности доведенных до государственного заказчика, действующего от имени субъекта Российской Федерации, муниципального заказчика лимитов бюджетных обязательств на закупки в сфере регулярных перевозок, соответствующему заказчику, являющемуся получателем бюджетных средств, целесообразно направить в установленном порядке главному распорядителю (распорядителю) предложение, предусматривающее увеличение объема доведенных до такого получателя бюджетных средств лимитов бюджетных обязательств до объема, позволяющего осуществить планирование финансового обеспечения закупок в сфере регулярных перевозок в объеме, определенном с учетом требований Приказа N 351.</w:t>
      </w:r>
    </w:p>
    <w:p w:rsidR="00477C26" w:rsidRPr="00477C26" w:rsidRDefault="00477C26">
      <w:pPr>
        <w:pStyle w:val="ConsPlusNormal"/>
        <w:spacing w:before="220"/>
        <w:ind w:firstLine="540"/>
        <w:contextualSpacing/>
        <w:jc w:val="both"/>
        <w:rPr>
          <w:rFonts w:ascii="Times New Roman" w:hAnsi="Times New Roman" w:cs="Times New Roman"/>
        </w:rPr>
      </w:pPr>
      <w:r w:rsidRPr="00477C26">
        <w:rPr>
          <w:rFonts w:ascii="Times New Roman" w:hAnsi="Times New Roman" w:cs="Times New Roman"/>
        </w:rPr>
        <w:t>При невозможности такого увеличения заказчику в целях непревышения доведенных до него лимитов бюджетных обязательств целесообразно рассмотреть вопрос о возможности изменения предусмотренных Приказом N 351 таких параметров расчета НМЦК, которые в соответствии с Приказом N 351 допускается изменить заказчику.</w:t>
      </w:r>
    </w:p>
    <w:p w:rsidR="00477C26" w:rsidRPr="00477C26" w:rsidRDefault="00477C26">
      <w:pPr>
        <w:pStyle w:val="ConsPlusNormal"/>
        <w:spacing w:before="220"/>
        <w:ind w:firstLine="540"/>
        <w:contextualSpacing/>
        <w:jc w:val="both"/>
        <w:rPr>
          <w:rFonts w:ascii="Times New Roman" w:hAnsi="Times New Roman" w:cs="Times New Roman"/>
        </w:rPr>
      </w:pPr>
      <w:r w:rsidRPr="00477C26">
        <w:rPr>
          <w:rFonts w:ascii="Times New Roman" w:hAnsi="Times New Roman" w:cs="Times New Roman"/>
        </w:rPr>
        <w:t>3. Об изменении существенных условий контрактов на выполнение работ по осуществлению регулярных перевозок.</w:t>
      </w:r>
    </w:p>
    <w:p w:rsidR="00477C26" w:rsidRPr="00477C26" w:rsidRDefault="00477C26">
      <w:pPr>
        <w:pStyle w:val="ConsPlusNormal"/>
        <w:spacing w:before="220"/>
        <w:ind w:firstLine="540"/>
        <w:contextualSpacing/>
        <w:jc w:val="both"/>
        <w:rPr>
          <w:rFonts w:ascii="Times New Roman" w:hAnsi="Times New Roman" w:cs="Times New Roman"/>
        </w:rPr>
      </w:pPr>
      <w:r w:rsidRPr="00477C26">
        <w:rPr>
          <w:rFonts w:ascii="Times New Roman" w:hAnsi="Times New Roman" w:cs="Times New Roman"/>
        </w:rPr>
        <w:t>Если при исполнении контракта возникли независящие от сторон контракта обстоятельства, влекущие невозможность исполнения такого контракта на первоначальных условиях, его существенные условия могут быть изменены по соглашению сторон на основании:</w:t>
      </w:r>
    </w:p>
    <w:p w:rsidR="00477C26" w:rsidRPr="00477C26" w:rsidRDefault="00477C26">
      <w:pPr>
        <w:pStyle w:val="ConsPlusNormal"/>
        <w:spacing w:before="220"/>
        <w:ind w:firstLine="540"/>
        <w:contextualSpacing/>
        <w:jc w:val="both"/>
        <w:rPr>
          <w:rFonts w:ascii="Times New Roman" w:hAnsi="Times New Roman" w:cs="Times New Roman"/>
        </w:rPr>
      </w:pPr>
      <w:r w:rsidRPr="00477C26">
        <w:rPr>
          <w:rFonts w:ascii="Times New Roman" w:hAnsi="Times New Roman" w:cs="Times New Roman"/>
        </w:rPr>
        <w:t>решений высшего исполнительного органа субъекта Российской Федерации (если контракт заключен для обеспечения нужд субъекта Российской Федерации), местной администрации (если контракт заключен для обеспечения муниципальных нужд муниципального образования), если контракт заключен на срок не менее чем три года (если контракт заключен для обеспечения нужд субъекта Российской Федерации), не менее одного года (если контракт заключен для обеспечения муниципальных нужд муниципального образования) и его цена составляет либо превышает размер, установленный постановлением Правительства Российской Федерации от 19 декабря 2013 г. N 1186 (пункты 3 и 4 части 1 статьи 95 Закона N 44-ФЗ);</w:t>
      </w:r>
    </w:p>
    <w:p w:rsidR="00477C26" w:rsidRPr="00477C26" w:rsidRDefault="00477C26">
      <w:pPr>
        <w:pStyle w:val="ConsPlusNormal"/>
        <w:spacing w:before="220"/>
        <w:ind w:firstLine="540"/>
        <w:contextualSpacing/>
        <w:jc w:val="both"/>
        <w:rPr>
          <w:rFonts w:ascii="Times New Roman" w:hAnsi="Times New Roman" w:cs="Times New Roman"/>
        </w:rPr>
      </w:pPr>
      <w:r w:rsidRPr="00477C26">
        <w:rPr>
          <w:rFonts w:ascii="Times New Roman" w:hAnsi="Times New Roman" w:cs="Times New Roman"/>
        </w:rPr>
        <w:t>решений высшего исполнительного органа субъекта Российской Федерации (если контракт заключен для обеспечения нужд субъекта Российской Федерации), местной администрации (если контракт заключен для обеспечения муниципальных нужд муниципального образования), если контракт заключен до 1 января 2025 г., вне зависимости от его срока действия и цены (часть 65.1 статьи 112 Закона N 44-ФЗ).</w:t>
      </w:r>
    </w:p>
    <w:p w:rsidR="00477C26" w:rsidRPr="00477C26" w:rsidRDefault="00477C26">
      <w:pPr>
        <w:pStyle w:val="ConsPlusNormal"/>
        <w:spacing w:before="220"/>
        <w:ind w:firstLine="540"/>
        <w:contextualSpacing/>
        <w:jc w:val="both"/>
        <w:rPr>
          <w:rFonts w:ascii="Times New Roman" w:hAnsi="Times New Roman" w:cs="Times New Roman"/>
        </w:rPr>
      </w:pPr>
      <w:r w:rsidRPr="00477C26">
        <w:rPr>
          <w:rFonts w:ascii="Times New Roman" w:hAnsi="Times New Roman" w:cs="Times New Roman"/>
        </w:rPr>
        <w:t>Перечень независящих от сторон контракта обстоятельств, влекущих невозможность его исполнения, Законом N 44-ФЗ не ограничивается. При этом из положений Закона N 44-ФЗ следует, что для целей изменения существенных условий контракта указанные обстоятельства должны оказывать такое влияние на ход его исполнения, которое приводит к ситуации невозможности дальнейшего исполнения такого контракта одной или обеими его сторонами.</w:t>
      </w:r>
    </w:p>
    <w:p w:rsidR="00477C26" w:rsidRPr="00477C26" w:rsidRDefault="00477C26">
      <w:pPr>
        <w:pStyle w:val="ConsPlusNormal"/>
        <w:spacing w:before="220"/>
        <w:ind w:firstLine="540"/>
        <w:contextualSpacing/>
        <w:jc w:val="both"/>
        <w:rPr>
          <w:rFonts w:ascii="Times New Roman" w:hAnsi="Times New Roman" w:cs="Times New Roman"/>
        </w:rPr>
      </w:pPr>
      <w:r w:rsidRPr="00477C26">
        <w:rPr>
          <w:rFonts w:ascii="Times New Roman" w:hAnsi="Times New Roman" w:cs="Times New Roman"/>
        </w:rPr>
        <w:t>С учетом положений абзаца второго пункта 1 статьи 451 Гражданского кодекса Российской Федерации к такой ситуации относится ситуация, при которой стороны не стали бы заключать контракт на содержащихся в нем условиях, если бы они могли предвидеть наступление вышеуказанных обстоятельств.</w:t>
      </w:r>
    </w:p>
    <w:p w:rsidR="00477C26" w:rsidRPr="00477C26" w:rsidRDefault="00477C26">
      <w:pPr>
        <w:pStyle w:val="ConsPlusNormal"/>
        <w:spacing w:before="220"/>
        <w:ind w:firstLine="540"/>
        <w:contextualSpacing/>
        <w:jc w:val="both"/>
        <w:rPr>
          <w:rFonts w:ascii="Times New Roman" w:hAnsi="Times New Roman" w:cs="Times New Roman"/>
        </w:rPr>
      </w:pPr>
      <w:r w:rsidRPr="00477C26">
        <w:rPr>
          <w:rFonts w:ascii="Times New Roman" w:hAnsi="Times New Roman" w:cs="Times New Roman"/>
        </w:rPr>
        <w:t>В период исполнения контракта на выполнение работ по осуществлению регулярных перевозок могут происходить изменения, в том числе, застройки территории, конфигурации улично-дорожной сети, схем организации дорожного движения, показателей транспортного спроса, транспортных корреспонденций населения.</w:t>
      </w:r>
    </w:p>
    <w:p w:rsidR="00477C26" w:rsidRPr="00477C26" w:rsidRDefault="00477C26">
      <w:pPr>
        <w:pStyle w:val="ConsPlusNormal"/>
        <w:spacing w:before="220"/>
        <w:ind w:firstLine="540"/>
        <w:contextualSpacing/>
        <w:jc w:val="both"/>
        <w:rPr>
          <w:rFonts w:ascii="Times New Roman" w:hAnsi="Times New Roman" w:cs="Times New Roman"/>
        </w:rPr>
      </w:pPr>
      <w:r w:rsidRPr="00477C26">
        <w:rPr>
          <w:rFonts w:ascii="Times New Roman" w:hAnsi="Times New Roman" w:cs="Times New Roman"/>
        </w:rPr>
        <w:lastRenderedPageBreak/>
        <w:t>Указанные изменения согласно методическим рекомендациям по разработке документа планирования регулярных перевозок пассажиров и багажа по муниципальным и межмуниципальным маршрутам автомобильным транспортом и городским наземным электрическим транспортом, утвержденным Минтрансом России от 30 июня 2020 г., являются основанием для внесения изменений в документ планирования регулярных перевозок, который в свою очередь служит непосредственным основанием, в том числе, для изменения маршрутов регулярных перевозок (пункты 4 и 9).</w:t>
      </w:r>
    </w:p>
    <w:p w:rsidR="00477C26" w:rsidRPr="00477C26" w:rsidRDefault="00477C26">
      <w:pPr>
        <w:pStyle w:val="ConsPlusNormal"/>
        <w:spacing w:before="220"/>
        <w:ind w:firstLine="540"/>
        <w:contextualSpacing/>
        <w:jc w:val="both"/>
        <w:rPr>
          <w:rFonts w:ascii="Times New Roman" w:hAnsi="Times New Roman" w:cs="Times New Roman"/>
        </w:rPr>
      </w:pPr>
      <w:r w:rsidRPr="00477C26">
        <w:rPr>
          <w:rFonts w:ascii="Times New Roman" w:hAnsi="Times New Roman" w:cs="Times New Roman"/>
        </w:rPr>
        <w:t>Таким образом, если в период исполнения контракта на выполнение работ по осуществлению регулярных перевозок возникли независящие от сторон контракта обстоятельства, влекущие невозможность исполнения такого контракта на содержащихся в нем условиях, в том числе заказчиком в связи с изменением потребности в осуществлении регулярных перевозок (например, вследствие изменения застройки территории, конфигурации улично-дорожной сети, схем организации дорожного движения, показателей транспортного спроса, транспортных корреспонденций населения), существенные условия такого контракта могут быть в установленном порядке изменены на основании пунктов 3 или 4 части 1 статьи 95 либо части 65.1 статьи 112 Закона N 44-ФЗ.</w:t>
      </w:r>
    </w:p>
    <w:p w:rsidR="00477C26" w:rsidRPr="00477C26" w:rsidRDefault="00477C26">
      <w:pPr>
        <w:pStyle w:val="ConsPlusNormal"/>
        <w:spacing w:before="220"/>
        <w:ind w:firstLine="540"/>
        <w:contextualSpacing/>
        <w:jc w:val="both"/>
        <w:rPr>
          <w:rFonts w:ascii="Times New Roman" w:hAnsi="Times New Roman" w:cs="Times New Roman"/>
        </w:rPr>
      </w:pPr>
      <w:r w:rsidRPr="00477C26">
        <w:rPr>
          <w:rFonts w:ascii="Times New Roman" w:hAnsi="Times New Roman" w:cs="Times New Roman"/>
        </w:rPr>
        <w:t>Настоящее письмо не является правовым актом и носит информационный характер.</w:t>
      </w:r>
    </w:p>
    <w:p w:rsidR="00477C26" w:rsidRPr="00477C26" w:rsidRDefault="00477C26">
      <w:pPr>
        <w:pStyle w:val="ConsPlusNormal"/>
        <w:ind w:firstLine="540"/>
        <w:contextualSpacing/>
        <w:jc w:val="both"/>
        <w:rPr>
          <w:rFonts w:ascii="Times New Roman" w:hAnsi="Times New Roman" w:cs="Times New Roman"/>
        </w:rPr>
      </w:pPr>
    </w:p>
    <w:p w:rsidR="00477C26" w:rsidRPr="00477C26" w:rsidRDefault="00477C26">
      <w:pPr>
        <w:pStyle w:val="ConsPlusNormal"/>
        <w:contextualSpacing/>
        <w:jc w:val="right"/>
        <w:rPr>
          <w:rFonts w:ascii="Times New Roman" w:hAnsi="Times New Roman" w:cs="Times New Roman"/>
        </w:rPr>
      </w:pPr>
      <w:r w:rsidRPr="00477C26">
        <w:rPr>
          <w:rFonts w:ascii="Times New Roman" w:hAnsi="Times New Roman" w:cs="Times New Roman"/>
        </w:rPr>
        <w:t>от Минфина России</w:t>
      </w:r>
    </w:p>
    <w:p w:rsidR="00477C26" w:rsidRPr="00477C26" w:rsidRDefault="00477C26">
      <w:pPr>
        <w:pStyle w:val="ConsPlusNormal"/>
        <w:contextualSpacing/>
        <w:jc w:val="right"/>
        <w:rPr>
          <w:rFonts w:ascii="Times New Roman" w:hAnsi="Times New Roman" w:cs="Times New Roman"/>
        </w:rPr>
      </w:pPr>
      <w:r w:rsidRPr="00477C26">
        <w:rPr>
          <w:rFonts w:ascii="Times New Roman" w:hAnsi="Times New Roman" w:cs="Times New Roman"/>
        </w:rPr>
        <w:t>А.М.ЛАВРОВ</w:t>
      </w:r>
    </w:p>
    <w:p w:rsidR="00477C26" w:rsidRPr="00477C26" w:rsidRDefault="00477C26">
      <w:pPr>
        <w:pStyle w:val="ConsPlusNormal"/>
        <w:contextualSpacing/>
        <w:jc w:val="both"/>
        <w:rPr>
          <w:rFonts w:ascii="Times New Roman" w:hAnsi="Times New Roman" w:cs="Times New Roman"/>
        </w:rPr>
      </w:pPr>
    </w:p>
    <w:p w:rsidR="00477C26" w:rsidRPr="00477C26" w:rsidRDefault="00477C26">
      <w:pPr>
        <w:pStyle w:val="ConsPlusNormal"/>
        <w:contextualSpacing/>
        <w:jc w:val="right"/>
        <w:rPr>
          <w:rFonts w:ascii="Times New Roman" w:hAnsi="Times New Roman" w:cs="Times New Roman"/>
        </w:rPr>
      </w:pPr>
      <w:r w:rsidRPr="00477C26">
        <w:rPr>
          <w:rFonts w:ascii="Times New Roman" w:hAnsi="Times New Roman" w:cs="Times New Roman"/>
        </w:rPr>
        <w:t>от Минтранса России</w:t>
      </w:r>
    </w:p>
    <w:p w:rsidR="00477C26" w:rsidRPr="00477C26" w:rsidRDefault="00477C26">
      <w:pPr>
        <w:pStyle w:val="ConsPlusNormal"/>
        <w:contextualSpacing/>
        <w:jc w:val="right"/>
        <w:rPr>
          <w:rFonts w:ascii="Times New Roman" w:hAnsi="Times New Roman" w:cs="Times New Roman"/>
        </w:rPr>
      </w:pPr>
      <w:r w:rsidRPr="00477C26">
        <w:rPr>
          <w:rFonts w:ascii="Times New Roman" w:hAnsi="Times New Roman" w:cs="Times New Roman"/>
        </w:rPr>
        <w:t>А.А.КОСТЮК</w:t>
      </w:r>
    </w:p>
    <w:p w:rsidR="00477C26" w:rsidRPr="00477C26" w:rsidRDefault="00477C26">
      <w:pPr>
        <w:pStyle w:val="ConsPlusNormal"/>
        <w:contextualSpacing/>
        <w:jc w:val="both"/>
        <w:rPr>
          <w:rFonts w:ascii="Times New Roman" w:hAnsi="Times New Roman" w:cs="Times New Roman"/>
        </w:rPr>
      </w:pPr>
    </w:p>
    <w:p w:rsidR="00477C26" w:rsidRPr="00477C26" w:rsidRDefault="00477C26">
      <w:pPr>
        <w:pStyle w:val="ConsPlusNormal"/>
        <w:contextualSpacing/>
        <w:jc w:val="both"/>
        <w:rPr>
          <w:rFonts w:ascii="Times New Roman" w:hAnsi="Times New Roman" w:cs="Times New Roman"/>
        </w:rPr>
      </w:pPr>
    </w:p>
    <w:p w:rsidR="00477C26" w:rsidRPr="00477C26" w:rsidRDefault="00477C26">
      <w:pPr>
        <w:pStyle w:val="ConsPlusNormal"/>
        <w:pBdr>
          <w:bottom w:val="single" w:sz="6" w:space="0" w:color="auto"/>
        </w:pBdr>
        <w:spacing w:before="100" w:after="100"/>
        <w:contextualSpacing/>
        <w:jc w:val="both"/>
        <w:rPr>
          <w:rFonts w:ascii="Times New Roman" w:hAnsi="Times New Roman" w:cs="Times New Roman"/>
          <w:sz w:val="2"/>
          <w:szCs w:val="2"/>
        </w:rPr>
      </w:pPr>
    </w:p>
    <w:p w:rsidR="00D07947" w:rsidRPr="00477C26" w:rsidRDefault="00D07947">
      <w:pPr>
        <w:rPr>
          <w:rFonts w:ascii="Times New Roman" w:hAnsi="Times New Roman" w:cs="Times New Roman"/>
        </w:rPr>
      </w:pPr>
    </w:p>
    <w:sectPr w:rsidR="00D07947" w:rsidRPr="00477C26" w:rsidSect="003858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C26"/>
    <w:rsid w:val="00471099"/>
    <w:rsid w:val="00477C26"/>
    <w:rsid w:val="00D079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7C2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77C2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77C26"/>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7C2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77C2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77C26"/>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1389</Words>
  <Characters>7921</Characters>
  <Application>Microsoft Office Word</Application>
  <DocSecurity>0</DocSecurity>
  <Lines>66</Lines>
  <Paragraphs>18</Paragraphs>
  <ScaleCrop>false</ScaleCrop>
  <Company/>
  <LinksUpToDate>false</LinksUpToDate>
  <CharactersWithSpaces>9292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А.. Минина</dc:creator>
  <cp:keywords/>
  <dc:description/>
  <cp:lastModifiedBy>Марат Е. Ткач</cp:lastModifiedBy>
  <cp:revision>2</cp:revision>
  <dcterms:created xsi:type="dcterms:W3CDTF">2024-03-21T07:07:00Z</dcterms:created>
  <dcterms:modified xsi:type="dcterms:W3CDTF">2024-05-31T12:29:00Z</dcterms:modified>
</cp:coreProperties>
</file>